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47" w:rsidRPr="00855F63" w:rsidRDefault="00855F63" w:rsidP="00855F63">
      <w:pPr>
        <w:jc w:val="right"/>
        <w:rPr>
          <w:rFonts w:asciiTheme="minorHAnsi" w:hAnsiTheme="minorHAnsi" w:cstheme="minorHAnsi"/>
          <w:i/>
          <w:sz w:val="20"/>
        </w:rPr>
      </w:pPr>
      <w:r w:rsidRPr="00855F63">
        <w:rPr>
          <w:rFonts w:asciiTheme="minorHAnsi" w:hAnsiTheme="minorHAnsi" w:cstheme="minorHAnsi"/>
          <w:i/>
          <w:sz w:val="20"/>
        </w:rPr>
        <w:t>LOGOTYPY</w:t>
      </w:r>
    </w:p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B40ED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Przedsięwzięcie: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Przedsięwzięcie </w:t>
            </w:r>
            <w:r w:rsidR="00B40ED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nr, pełna nazwa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972"/>
        <w:gridCol w:w="1846"/>
        <w:gridCol w:w="3263"/>
        <w:gridCol w:w="1280"/>
        <w:gridCol w:w="1271"/>
        <w:gridCol w:w="911"/>
        <w:gridCol w:w="1072"/>
        <w:gridCol w:w="1189"/>
        <w:gridCol w:w="1136"/>
        <w:gridCol w:w="1079"/>
      </w:tblGrid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udzielonego wsparcia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43647" w:rsidRPr="00855F63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:rsidTr="00A4708E">
        <w:tc>
          <w:tcPr>
            <w:tcW w:w="75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:rsidR="00B40ED2" w:rsidRDefault="00B40ED2" w:rsidP="00E774C6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6"/>
        <w:gridCol w:w="1418"/>
        <w:gridCol w:w="2410"/>
        <w:gridCol w:w="911"/>
        <w:gridCol w:w="1072"/>
        <w:gridCol w:w="1189"/>
        <w:gridCol w:w="1136"/>
        <w:gridCol w:w="1079"/>
      </w:tblGrid>
      <w:tr w:rsidR="00855F63" w:rsidRPr="00855F63" w:rsidTr="00A4708E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009" w:rsidRPr="00855F63" w:rsidTr="00A4708E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C43647" w:rsidRPr="00855F63" w:rsidRDefault="00855F63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  <w:r w:rsidRPr="00855F63">
        <w:rPr>
          <w:rFonts w:asciiTheme="minorHAnsi" w:hAnsiTheme="minorHAnsi" w:cstheme="minorHAnsi"/>
          <w:color w:val="000000"/>
          <w:sz w:val="16"/>
          <w:szCs w:val="16"/>
        </w:rPr>
        <w:t>Limit naboru został ustalony w walucie EUR. Dla potrzeb sporządzenia listy przyjęto limit w walucie PLN, przeliczając wskazany w ogłoszeniu naboru limit środków w walucie EUR po kursie stałym 4,0 PLN/EUR. Ostatecznie limit naboru zostanie przeliczony przez Zarząd Województwa po kursie bieżącym (kurs wymiany euro do złotego, publikowany przez Europejski Bank Centralny (EBC) z przedostatniego dnia pracy Komisji Europejskiej w miesiącu poprzedzającym miesiąc dokonania obliczeń).</w:t>
      </w:r>
    </w:p>
    <w:p w:rsidR="00855F63" w:rsidRPr="00855F63" w:rsidRDefault="00855F63" w:rsidP="00855F63">
      <w:pPr>
        <w:pStyle w:val="Zawartotabeli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color w:val="000000"/>
          <w:sz w:val="16"/>
          <w:szCs w:val="16"/>
        </w:rPr>
        <w:t xml:space="preserve">* Po kursie stałym 4,0 PLN/EUR. </w:t>
      </w:r>
    </w:p>
    <w:p w:rsid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</w:t>
      </w:r>
    </w:p>
    <w:sectPr w:rsidR="00855F63" w:rsidRPr="00855F63"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855F63"/>
    <w:rsid w:val="00A4708E"/>
    <w:rsid w:val="00B40ED2"/>
    <w:rsid w:val="00C43647"/>
    <w:rsid w:val="00D31009"/>
    <w:rsid w:val="00D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Marlena Bzdura</cp:lastModifiedBy>
  <cp:revision>3</cp:revision>
  <dcterms:created xsi:type="dcterms:W3CDTF">2024-02-05T22:01:00Z</dcterms:created>
  <dcterms:modified xsi:type="dcterms:W3CDTF">2024-04-15T09:15:00Z</dcterms:modified>
  <dc:language>pl-PL</dc:language>
</cp:coreProperties>
</file>